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PROFESSIONAL COMPETENCE</w:t>
      </w:r>
    </w:p>
    <w:p>
      <w:pPr>
        <w:pStyle w:val="Title"/>
      </w:pPr>
      <w:r>
        <w:t>Security Audit Working Papers</w:t>
      </w:r>
    </w:p>
    <w:p>
      <w:pPr>
        <w:pStyle w:val="Subtitle"/>
      </w:pPr>
      <w:r>
        <w:t>Public working template · authorized training environments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Organization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Candidate / assigned assessor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and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Authorized assessment scope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Complete each field with observable evidence. Do not include passwords, sensitive customer data or restricted operational details.</w:t>
      </w:r>
    </w:p>
    <w:p>
      <w:pPr>
        <w:pStyle w:val="Heading2"/>
      </w:pPr>
      <w:r>
        <w:t>1. Audit objectives and criteria</w:t>
      </w:r>
    </w:p>
    <w:p>
      <w:r>
        <w:t>Approved audit mandate, control framework/version, legal requirements, exclusions.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Independence and conflicts</w:t>
      </w:r>
    </w:p>
    <w:p>
      <w:r>
        <w:t>Auditor declaration, professional competence and assignment controls.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Sample design</w:t>
      </w:r>
    </w:p>
    <w:p>
      <w:r>
        <w:t>Sample population, selection method, justification and limitations.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Control effectiveness</w:t>
      </w:r>
    </w:p>
    <w:p>
      <w:r>
        <w:t>Distinguish implemented, effective, ineffective and not verified with evidence.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Findings</w:t>
      </w:r>
    </w:p>
    <w:p>
      <w:r>
        <w:t>Criteria, condition, evidence, risk, root causes and accountable response.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Closing and follow-up</w:t>
      </w:r>
    </w:p>
    <w:p>
      <w:r>
        <w:t>Report validation, corrective plan, closure criteria and independent review.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controlled professional training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Working Papers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