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COMPÉTENCES PROFESSIONNELLES</w:t>
      </w:r>
    </w:p>
    <w:p>
      <w:pPr>
        <w:pStyle w:val="Title"/>
      </w:pPr>
      <w:r>
        <w:t>Dossier de travail d’audit de sécurité</w:t>
      </w:r>
    </w:p>
    <w:p>
      <w:pPr>
        <w:pStyle w:val="Subtitle"/>
      </w:pPr>
      <w:r>
        <w:t>Modèle public · environnements de formation autorisés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Organisation / programme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Candidat / évaluateur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Date et version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Périmètre autorisé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</w:tbl>
    <w:p>
      <w:r>
        <w:t>Consigner chaque conclusion avec des preuves observables. Ne pas inclure de mot de passe, de donnée client sensible ni de détail opérationnel réservé.</w:t>
      </w:r>
    </w:p>
    <w:p>
      <w:pPr>
        <w:pStyle w:val="Heading2"/>
      </w:pPr>
      <w:r>
        <w:t>1. Objectifs et critères</w:t>
      </w:r>
    </w:p>
    <w:p>
      <w:r>
        <w:t>Mandat validé, référentiels/version, règles applicables et exclusions.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2. Indépendance</w:t>
      </w:r>
    </w:p>
    <w:p>
      <w:r>
        <w:t>Déclaration d’impartialité, compétences, conflits et séparation des rôles.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3. Échantillonnage</w:t>
      </w:r>
    </w:p>
    <w:p>
      <w:r>
        <w:t>Population, méthode, justification et limites.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4. Efficacité des contrôles</w:t>
      </w:r>
    </w:p>
    <w:p>
      <w:r>
        <w:t>Distinguer mise en œuvre, efficacité, inefficacité et absence de preuve.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br w:type="page"/>
      </w:r>
    </w:p>
    <w:p>
      <w:pPr>
        <w:pStyle w:val="Heading2"/>
      </w:pPr>
      <w:r>
        <w:t>5. Constats</w:t>
      </w:r>
    </w:p>
    <w:p>
      <w:r>
        <w:t>Critères, conditions, preuves, risque, causes et réponse de l’entité.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6. Clôture</w:t>
      </w:r>
    </w:p>
    <w:p>
      <w:r>
        <w:t>Validation, plan correctif, critères de levée de réserve et revue indépendante.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sectPr w:rsidR="00FC693F" w:rsidRPr="0006063C" w:rsidSect="00034616">
      <w:footerReference w:type="default" r:id="rId9"/>
      <w:pgSz w:w="12240" w:h="15840"/>
      <w:pgMar w:top="124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· deepinfosec.com · formation professionnelle encadrée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color w:val="1330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55C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55C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55C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travail d’audit de sécurité</dc:title>
  <dc:subject>Public professional assessment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