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COMPÉTENCES PROFESSIONNELLES</w:t>
      </w:r>
    </w:p>
    <w:p>
      <w:pPr>
        <w:pStyle w:val="Title"/>
      </w:pPr>
      <w:r>
        <w:t>Registre de preuves / Évaluation pratique</w:t>
      </w:r>
    </w:p>
    <w:p>
      <w:pPr>
        <w:pStyle w:val="Subtitle"/>
      </w:pPr>
      <w:r>
        <w:t>Modèle public · environnements de formation autorisés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Organisation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 / évaluateur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et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Périmètre autorisé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Consigner chaque conclusion avec des preuves observables. Ne pas inclure de mot de passe, de donnée client sensible ni de détail opérationnel réservé.</w:t>
      </w:r>
    </w:p>
    <w:p>
      <w:pPr>
        <w:pStyle w:val="Heading2"/>
      </w:pPr>
      <w:r>
        <w:t>1. Autorisation et périmètre</w:t>
      </w:r>
    </w:p>
    <w:p>
      <w:r>
        <w:t>Mandat, activités autorisées et règles de conservation des preuves.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Entrées du registre</w:t>
      </w:r>
    </w:p>
    <w:p>
      <w:r>
        <w:t>Identifiant, date, source, observation et responsable de revue.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Contrôle de fiabilité</w:t>
      </w:r>
    </w:p>
    <w:p>
      <w:r>
        <w:t>Corroboration, limites, incertitudes et éléments contradictoires.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Gestion des preuves</w:t>
      </w:r>
    </w:p>
    <w:p>
      <w:r>
        <w:t>Références de fichiers expurgés, droits d’accès et modalités de destruction.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Approbation</w:t>
      </w:r>
    </w:p>
    <w:p>
      <w:r>
        <w:t>Indiquer si la conclusion est reproductible et examinable par un tiers.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formation professionnelle encadrée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Registre de preuves / Évaluation pratique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