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DEEP INFOSEC  /  COMPÉTENCES PROFESSIONNELLES</w:t>
      </w:r>
    </w:p>
    <w:p>
      <w:pPr>
        <w:pStyle w:val="Title"/>
      </w:pPr>
      <w:r>
        <w:t>Évaluation pratique de compétence</w:t>
      </w:r>
    </w:p>
    <w:p>
      <w:pPr>
        <w:pStyle w:val="Subtitle"/>
      </w:pPr>
      <w:r>
        <w:t>Modèle public · environnements de formation autorisés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t>Organisation / programme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Candidat / évaluateur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Date et version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  <w:tr>
        <w:tc>
          <w:tcPr>
            <w:tcW w:type="dxa" w:w="4873"/>
          </w:tcPr>
          <w:p>
            <w:r>
              <w:t>Périmètre autorisé</w:t>
            </w:r>
          </w:p>
        </w:tc>
        <w:tc>
          <w:tcPr>
            <w:tcW w:type="dxa" w:w="4873"/>
          </w:tcPr>
          <w:p>
            <w:r>
              <w:t>[ ....................................... ]</w:t>
            </w:r>
          </w:p>
        </w:tc>
      </w:tr>
    </w:tbl>
    <w:p>
      <w:r>
        <w:t>Consigner chaque conclusion avec des preuves observables. Ne pas inclure de mot de passe, de donnée client sensible ni de détail opérationnel réservé.</w:t>
      </w:r>
    </w:p>
    <w:p>
      <w:pPr>
        <w:pStyle w:val="Heading2"/>
      </w:pPr>
      <w:r>
        <w:t>1. Fonction et compétences</w:t>
      </w:r>
    </w:p>
    <w:p>
      <w:r>
        <w:t>Tâches, livrables, prérequis et environnement simulé autorisé.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2. Règles d’engagement</w:t>
      </w:r>
    </w:p>
    <w:p>
      <w:r>
        <w:t>Périmètre de laboratoire, assistance admise, temps, actions interdites et arrêt.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3. Travaux observés</w:t>
      </w:r>
    </w:p>
    <w:p>
      <w:r>
        <w:t>Activités pratiques, compétence démontrée et notes de l’examinateur.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4. Barème</w:t>
      </w:r>
    </w:p>
    <w:p>
      <w:r>
        <w:t>Exactitude technique 40 %, preuves et rapport 20 %, raisonnement risque 20 %, respect du mandat 10 %, soutenance 10 %.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r>
        <w:br w:type="page"/>
      </w:r>
    </w:p>
    <w:p>
      <w:pPr>
        <w:pStyle w:val="Heading2"/>
      </w:pPr>
      <w:r>
        <w:t>5. Décision</w:t>
      </w:r>
    </w:p>
    <w:p>
      <w:r>
        <w:t>Réussite/échec et accompagnement. Dépassement substantiel du mandat ou preuve fabriquée : échec.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p>
      <w:pPr>
        <w:pStyle w:val="Heading2"/>
      </w:pPr>
      <w:r>
        <w:t>6. Appel et nouvelle épreuve</w:t>
      </w:r>
    </w:p>
    <w:p>
      <w:r>
        <w:t>Autorité de révision, procédure et conditions de réévaluation.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t>Référence</w:t>
            </w:r>
          </w:p>
        </w:tc>
        <w:tc>
          <w:tcPr>
            <w:tcW w:type="dxa" w:w="2436"/>
          </w:tcPr>
          <w:p>
            <w:r>
              <w:t>Observation / décision</w:t>
            </w:r>
          </w:p>
        </w:tc>
        <w:tc>
          <w:tcPr>
            <w:tcW w:type="dxa" w:w="2436"/>
          </w:tcPr>
          <w:p>
            <w:r>
              <w:t>Preuve</w:t>
            </w:r>
          </w:p>
        </w:tc>
        <w:tc>
          <w:tcPr>
            <w:tcW w:type="dxa" w:w="2436"/>
          </w:tcPr>
          <w:p>
            <w:r>
              <w:t>Responsable / état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  <w:tr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  <w:tc>
          <w:tcPr>
            <w:tcW w:type="dxa" w:w="2436"/>
          </w:tcPr>
          <w:p>
            <w:r>
              <w:t xml:space="preserve"> </w:t>
            </w:r>
          </w:p>
        </w:tc>
      </w:tr>
    </w:tbl>
    <w:p>
      <w:r>
        <w:t xml:space="preserve"> </w:t>
      </w:r>
    </w:p>
    <w:sectPr w:rsidR="00FC693F" w:rsidRPr="0006063C" w:rsidSect="00034616">
      <w:footerReference w:type="default" r:id="rId9"/>
      <w:pgSz w:w="12240" w:h="15840"/>
      <w:pgMar w:top="1247" w:right="1247" w:bottom="107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Deep InfoSec · deepinfosec.com · formation professionnelle encadrée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mbria" w:hAnsi="Cambria"/>
      <w:color w:val="13303F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055C5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55C5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055C5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Évaluation pratique de compétence</dc:title>
  <dc:subject>Public professional assessment template</dc:subject>
  <dc:creator>Deep InfoSec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