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Grille d’analyse des offres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Critères éliminatoires</w:t>
      </w:r>
    </w:p>
    <w:p>
      <w:r>
        <w:t>Éligibilité, périmètre, sécurité et données.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Méthode technique (35 %)</w:t>
      </w:r>
    </w:p>
    <w:p>
      <w:r>
        <w:t>Conception, intégration, faisabilité et preuve.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Livraison et risques (25 %)</w:t>
      </w:r>
    </w:p>
    <w:p>
      <w:r>
        <w:t>Projet, sûreté, continuité et support.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Expérience (15 %)</w:t>
      </w:r>
    </w:p>
    <w:p>
      <w:r>
        <w:t>Compétences et références autorisées.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Coût complet (25 %)</w:t>
      </w:r>
    </w:p>
    <w:p>
      <w:r>
        <w:t>Prestations, licences, matériel, exploitation et sortie.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Comité</w:t>
      </w:r>
    </w:p>
    <w:p>
      <w:r>
        <w:t>Évaluateurs, conflits d’intérêt, motifs et décision.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d’analyse des offres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